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A2" w:rsidRPr="00141FA2" w:rsidRDefault="00141FA2" w:rsidP="00141FA2">
      <w:pPr>
        <w:pBdr>
          <w:bottom w:val="single" w:sz="4" w:space="3" w:color="DDDDDD"/>
        </w:pBdr>
        <w:shd w:val="clear" w:color="auto" w:fill="FFFFFF"/>
        <w:bidi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37AC3"/>
          <w:kern w:val="36"/>
          <w:sz w:val="48"/>
          <w:szCs w:val="48"/>
        </w:rPr>
      </w:pPr>
      <w:r w:rsidRPr="00141FA2">
        <w:rPr>
          <w:rFonts w:ascii="Times New Roman" w:eastAsia="Times New Roman" w:hAnsi="Times New Roman" w:cs="Times New Roman"/>
          <w:b/>
          <w:bCs/>
          <w:color w:val="137AC3"/>
          <w:kern w:val="36"/>
          <w:sz w:val="48"/>
          <w:szCs w:val="48"/>
        </w:rPr>
        <w:t>Fatty Acid Synthesis</w:t>
      </w:r>
    </w:p>
    <w:p w:rsidR="006252F9" w:rsidRDefault="0055367E" w:rsidP="00235455">
      <w:pPr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B6178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  </w:t>
      </w:r>
    </w:p>
    <w:p w:rsidR="00235455" w:rsidRPr="00235455" w:rsidRDefault="00235455" w:rsidP="00235455">
      <w:pPr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  <w:lang w:bidi="ar-EG"/>
        </w:rPr>
      </w:pPr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>De Novo Synthesis of Fatty Acids</w:t>
      </w:r>
    </w:p>
    <w:p w:rsidR="00E75B05" w:rsidRPr="00235455" w:rsidRDefault="00235455" w:rsidP="00235455">
      <w:pPr>
        <w:numPr>
          <w:ilvl w:val="0"/>
          <w:numId w:val="2"/>
        </w:numPr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ar-EG"/>
        </w:rPr>
      </w:pPr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 xml:space="preserve">Production of Acetyl </w:t>
      </w:r>
      <w:proofErr w:type="spellStart"/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>CoA</w:t>
      </w:r>
      <w:proofErr w:type="spellEnd"/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 xml:space="preserve"> </w:t>
      </w:r>
    </w:p>
    <w:p w:rsidR="00E75B05" w:rsidRPr="00235455" w:rsidRDefault="00235455" w:rsidP="00235455">
      <w:pPr>
        <w:numPr>
          <w:ilvl w:val="0"/>
          <w:numId w:val="2"/>
        </w:numPr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  <w:lang w:bidi="ar-EG"/>
        </w:rPr>
      </w:pPr>
      <w:proofErr w:type="spellStart"/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>Carboxylation</w:t>
      </w:r>
      <w:proofErr w:type="spellEnd"/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 xml:space="preserve"> of Acetyl </w:t>
      </w:r>
      <w:proofErr w:type="spellStart"/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>CoA</w:t>
      </w:r>
      <w:proofErr w:type="spellEnd"/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 xml:space="preserve"> </w:t>
      </w:r>
    </w:p>
    <w:p w:rsidR="00E75B05" w:rsidRPr="00235455" w:rsidRDefault="00235455" w:rsidP="00235455">
      <w:pPr>
        <w:numPr>
          <w:ilvl w:val="0"/>
          <w:numId w:val="2"/>
        </w:numPr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  <w:lang w:bidi="ar-EG"/>
        </w:rPr>
      </w:pPr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 xml:space="preserve">Fatty acid </w:t>
      </w:r>
      <w:proofErr w:type="spellStart"/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>synthase</w:t>
      </w:r>
      <w:proofErr w:type="spellEnd"/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 xml:space="preserve">: a </w:t>
      </w:r>
      <w:proofErr w:type="spellStart"/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>multienzyme</w:t>
      </w:r>
      <w:proofErr w:type="spellEnd"/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 xml:space="preserve"> complex</w:t>
      </w:r>
    </w:p>
    <w:p w:rsidR="00E75B05" w:rsidRPr="00235455" w:rsidRDefault="00235455" w:rsidP="00235455">
      <w:pPr>
        <w:numPr>
          <w:ilvl w:val="1"/>
          <w:numId w:val="2"/>
        </w:numPr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  <w:lang w:bidi="ar-EG"/>
        </w:rPr>
      </w:pPr>
      <w:proofErr w:type="spellStart"/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>AcetylCoA</w:t>
      </w:r>
      <w:proofErr w:type="spellEnd"/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 xml:space="preserve">-ACP </w:t>
      </w:r>
      <w:proofErr w:type="spellStart"/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>transacylase</w:t>
      </w:r>
      <w:proofErr w:type="spellEnd"/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 xml:space="preserve"> </w:t>
      </w:r>
    </w:p>
    <w:p w:rsidR="00E75B05" w:rsidRPr="00235455" w:rsidRDefault="00235455" w:rsidP="00235455">
      <w:pPr>
        <w:numPr>
          <w:ilvl w:val="1"/>
          <w:numId w:val="2"/>
        </w:numPr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  <w:lang w:bidi="ar-EG"/>
        </w:rPr>
      </w:pPr>
      <w:proofErr w:type="spellStart"/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>MalonylCoA</w:t>
      </w:r>
      <w:proofErr w:type="spellEnd"/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 xml:space="preserve">-ACP </w:t>
      </w:r>
      <w:proofErr w:type="spellStart"/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>transacylase</w:t>
      </w:r>
      <w:proofErr w:type="spellEnd"/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 xml:space="preserve"> </w:t>
      </w:r>
    </w:p>
    <w:p w:rsidR="00E75B05" w:rsidRPr="00235455" w:rsidRDefault="00235455" w:rsidP="00235455">
      <w:pPr>
        <w:numPr>
          <w:ilvl w:val="1"/>
          <w:numId w:val="2"/>
        </w:numPr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  <w:lang w:bidi="ar-EG"/>
        </w:rPr>
      </w:pPr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>ß-</w:t>
      </w:r>
      <w:proofErr w:type="spellStart"/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>ketoacyl</w:t>
      </w:r>
      <w:proofErr w:type="spellEnd"/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 xml:space="preserve">-ACO </w:t>
      </w:r>
      <w:proofErr w:type="spellStart"/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>synthase</w:t>
      </w:r>
      <w:proofErr w:type="spellEnd"/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 xml:space="preserve"> </w:t>
      </w:r>
    </w:p>
    <w:p w:rsidR="00E75B05" w:rsidRPr="00235455" w:rsidRDefault="00235455" w:rsidP="00235455">
      <w:pPr>
        <w:numPr>
          <w:ilvl w:val="1"/>
          <w:numId w:val="2"/>
        </w:numPr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  <w:lang w:bidi="ar-EG"/>
        </w:rPr>
      </w:pPr>
      <w:proofErr w:type="spellStart"/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>Palmitoyl</w:t>
      </w:r>
      <w:proofErr w:type="spellEnd"/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 xml:space="preserve"> </w:t>
      </w:r>
      <w:proofErr w:type="spellStart"/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>thioesterase</w:t>
      </w:r>
      <w:proofErr w:type="spellEnd"/>
      <w:r w:rsidRPr="002354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EG"/>
        </w:rPr>
        <w:t xml:space="preserve"> </w:t>
      </w:r>
    </w:p>
    <w:p w:rsidR="00141FA2" w:rsidRPr="0024770D" w:rsidRDefault="00235455" w:rsidP="00141FA2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    </w:t>
      </w:r>
      <w:r w:rsidR="0055367E"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Synthesis of fatty acids occurs </w:t>
      </w:r>
      <w:r w:rsidR="0055367E" w:rsidRPr="0024770D">
        <w:rPr>
          <w:rFonts w:asciiTheme="majorBidi" w:hAnsiTheme="majorBidi" w:cstheme="majorBidi"/>
          <w:color w:val="C0504D" w:themeColor="accent2"/>
          <w:sz w:val="28"/>
          <w:szCs w:val="28"/>
          <w:shd w:val="clear" w:color="auto" w:fill="FFFFFF"/>
        </w:rPr>
        <w:t>in the cytoplasm and endoplasmic reticulum of the cell</w:t>
      </w:r>
      <w:r w:rsidR="0055367E"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and is chemically similar to </w:t>
      </w:r>
      <w:r w:rsidR="0055367E" w:rsidRPr="0024770D">
        <w:rPr>
          <w:rFonts w:asciiTheme="majorBidi" w:hAnsiTheme="majorBidi" w:cstheme="majorBidi"/>
          <w:color w:val="1F497D" w:themeColor="text2"/>
          <w:sz w:val="28"/>
          <w:szCs w:val="28"/>
          <w:shd w:val="clear" w:color="auto" w:fill="FFFFFF"/>
        </w:rPr>
        <w:t>the </w:t>
      </w:r>
      <w:hyperlink r:id="rId5" w:tooltip="TextMaps/Map%3A_Biochemistry_Free_and_Easy_(Ahern)/06%3A_Metabolism_I/6.11%3A_Fatty_Acid_Oxidation" w:history="1">
        <w:r w:rsidR="0055367E" w:rsidRPr="0024770D">
          <w:rPr>
            <w:rStyle w:val="Hyperlink"/>
            <w:rFonts w:asciiTheme="majorBidi" w:hAnsiTheme="majorBidi" w:cstheme="majorBidi"/>
            <w:color w:val="1F497D" w:themeColor="text2"/>
            <w:sz w:val="28"/>
            <w:szCs w:val="28"/>
            <w:shd w:val="clear" w:color="auto" w:fill="FFFFFF"/>
          </w:rPr>
          <w:t>beta-oxidation process</w:t>
        </w:r>
      </w:hyperlink>
      <w:r w:rsidR="0055367E"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, but with a couple of key differences. The first of these occur in preparing substrates for the reactions that grow the fatty acid. Transport of acetyl-</w:t>
      </w:r>
      <w:proofErr w:type="spellStart"/>
      <w:r w:rsidR="0055367E"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CoA</w:t>
      </w:r>
      <w:proofErr w:type="spellEnd"/>
      <w:r w:rsidR="0055367E"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from the mitochondria occurs when it begins to build up. Two molecules can play roles in moving it to the cytoplasm – citrate and </w:t>
      </w:r>
      <w:proofErr w:type="spellStart"/>
      <w:r w:rsidR="0055367E"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acetylcarnitine</w:t>
      </w:r>
      <w:proofErr w:type="spellEnd"/>
      <w:r w:rsidR="0055367E"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. Joining of </w:t>
      </w:r>
      <w:proofErr w:type="spellStart"/>
      <w:r w:rsidR="0055367E"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oxaloacetate</w:t>
      </w:r>
      <w:proofErr w:type="spellEnd"/>
      <w:r w:rsidR="0055367E"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with acetyl-</w:t>
      </w:r>
      <w:proofErr w:type="spellStart"/>
      <w:r w:rsidR="0055367E"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CoA</w:t>
      </w:r>
      <w:proofErr w:type="spellEnd"/>
      <w:r w:rsidR="0055367E"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in the mitochondrion creates citrate which moves across the membrane, followed by action of citrate </w:t>
      </w:r>
      <w:proofErr w:type="spellStart"/>
      <w:r w:rsidR="0055367E"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lyase</w:t>
      </w:r>
      <w:proofErr w:type="spellEnd"/>
      <w:r w:rsidR="0055367E"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in the cytoplasm of the cell to release acetyl-</w:t>
      </w:r>
      <w:proofErr w:type="spellStart"/>
      <w:r w:rsidR="0055367E"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CoA</w:t>
      </w:r>
      <w:proofErr w:type="spellEnd"/>
      <w:r w:rsidR="0055367E"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and </w:t>
      </w:r>
      <w:proofErr w:type="spellStart"/>
      <w:r w:rsidR="0055367E"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oxaloacetate</w:t>
      </w:r>
      <w:proofErr w:type="spellEnd"/>
      <w:r w:rsidR="0055367E"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 Additionally, when free acetyl-</w:t>
      </w:r>
      <w:proofErr w:type="spellStart"/>
      <w:r w:rsidR="0055367E"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CoA</w:t>
      </w:r>
      <w:proofErr w:type="spellEnd"/>
      <w:r w:rsidR="0055367E"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accumulates in the mitochondrion, it may combine with </w:t>
      </w:r>
      <w:proofErr w:type="spellStart"/>
      <w:r w:rsidR="0055367E"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carnitine</w:t>
      </w:r>
      <w:proofErr w:type="spellEnd"/>
      <w:r w:rsidR="0055367E"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and be transported out to the cytoplasm.</w:t>
      </w:r>
    </w:p>
    <w:p w:rsidR="00B11CCF" w:rsidRPr="0024770D" w:rsidRDefault="003330B2" w:rsidP="003330B2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      Starting with two acetyl-</w:t>
      </w:r>
      <w:proofErr w:type="spellStart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CoA</w:t>
      </w:r>
      <w:proofErr w:type="spellEnd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, one is converted to </w:t>
      </w:r>
      <w:proofErr w:type="spellStart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malonyl-CoA</w:t>
      </w:r>
      <w:proofErr w:type="spellEnd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by </w:t>
      </w:r>
      <w:proofErr w:type="spellStart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carboxylation</w:t>
      </w:r>
      <w:proofErr w:type="spellEnd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catalyzed by the enzyme acetyl-</w:t>
      </w:r>
      <w:proofErr w:type="spellStart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CoA</w:t>
      </w:r>
      <w:proofErr w:type="spellEnd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carboxylase</w:t>
      </w:r>
      <w:proofErr w:type="spellEnd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(ACC), the only regulatory enzyme of fatty acid synthesis (Figure </w:t>
      </w:r>
      <w:r w:rsidRPr="0024770D">
        <w:rPr>
          <w:rStyle w:val="mn"/>
          <w:rFonts w:asciiTheme="majorBidi" w:hAnsiTheme="majorBidi" w:cstheme="majorBidi"/>
          <w:color w:val="000000"/>
          <w:sz w:val="28"/>
          <w:szCs w:val="28"/>
          <w:bdr w:val="none" w:sz="0" w:space="0" w:color="auto" w:frame="1"/>
          <w:shd w:val="clear" w:color="auto" w:fill="FFFFFF"/>
        </w:rPr>
        <w:t>6.12.1</w:t>
      </w:r>
      <w:r w:rsidRPr="0024770D">
        <w:rPr>
          <w:rStyle w:val="mjxassistivemathml"/>
          <w:rFonts w:asciiTheme="majorBidi" w:hAnsiTheme="majorBidi" w:cstheme="majorBidi"/>
          <w:color w:val="000000"/>
          <w:sz w:val="28"/>
          <w:szCs w:val="28"/>
          <w:bdr w:val="none" w:sz="0" w:space="0" w:color="auto" w:frame="1"/>
          <w:shd w:val="clear" w:color="auto" w:fill="FFFFFF"/>
        </w:rPr>
        <w:t>6.12.1</w:t>
      </w:r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). Next, both molecules have their </w:t>
      </w:r>
      <w:proofErr w:type="spellStart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CoA</w:t>
      </w:r>
      <w:proofErr w:type="spellEnd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portions replaced by a carrier protein known as ACP (</w:t>
      </w:r>
      <w:proofErr w:type="spellStart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acyl</w:t>
      </w:r>
      <w:proofErr w:type="spellEnd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-carrier protein) to form acetyl-ACP and </w:t>
      </w:r>
      <w:proofErr w:type="spellStart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malonyl</w:t>
      </w:r>
      <w:proofErr w:type="spellEnd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-ACP. Joining of a fatty </w:t>
      </w:r>
      <w:proofErr w:type="spellStart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acyl</w:t>
      </w:r>
      <w:proofErr w:type="spellEnd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-ACP (in this case, acetyl-ACP) with </w:t>
      </w:r>
      <w:proofErr w:type="spellStart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malonyl</w:t>
      </w:r>
      <w:proofErr w:type="spellEnd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-ACP splits out the carboxyl that was added and creates the intermediate at the upper right in the figure at left.</w:t>
      </w:r>
    </w:p>
    <w:p w:rsidR="00B11CCF" w:rsidRPr="0024770D" w:rsidRDefault="00B11CCF" w:rsidP="00B11CCF">
      <w:pPr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lastRenderedPageBreak/>
        <w:t xml:space="preserve">        From this point forward, the chemical reactions resemble those of beta oxidation reversed. First, the </w:t>
      </w:r>
      <w:proofErr w:type="spellStart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ketone</w:t>
      </w:r>
      <w:proofErr w:type="spellEnd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is reduced to a hydroxyl using NADPH. In contrast to the </w:t>
      </w:r>
      <w:proofErr w:type="spellStart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hydroxylated</w:t>
      </w:r>
      <w:proofErr w:type="spellEnd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intermediate of beta oxidation, the beta intermediate here is in the D-configuration. Next, water is removed from carbons 2 and 3 of the hydroxyl intermediate to produce a trans doubled bonded molecule. Last, the double bond is hydrogenated to yield a saturated intermediate. The process cycles with the addition of another </w:t>
      </w:r>
      <w:proofErr w:type="spellStart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malonyl</w:t>
      </w:r>
      <w:proofErr w:type="spellEnd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-ACP to the growing chain until ultimately an intermediate with 16 carbons is produced (</w:t>
      </w:r>
      <w:proofErr w:type="spellStart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palmitoyl-CoA</w:t>
      </w:r>
      <w:proofErr w:type="spellEnd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). At this point, the </w:t>
      </w:r>
      <w:proofErr w:type="spellStart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cytoplasmic</w:t>
      </w:r>
      <w:proofErr w:type="spellEnd"/>
      <w:r w:rsidRPr="0024770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synthesis ceases.</w:t>
      </w:r>
    </w:p>
    <w:p w:rsidR="00141FA2" w:rsidRDefault="00F52D28" w:rsidP="00F52D28">
      <w:pPr>
        <w:jc w:val="center"/>
        <w:rPr>
          <w:lang w:bidi="ar-EG"/>
        </w:rPr>
      </w:pPr>
      <w:r>
        <w:rPr>
          <w:noProof/>
        </w:rPr>
        <w:drawing>
          <wp:inline distT="0" distB="0" distL="0" distR="0">
            <wp:extent cx="4142550" cy="5277600"/>
            <wp:effectExtent l="19050" t="0" r="0" b="0"/>
            <wp:docPr id="2" name="صورة 1" descr="https://bio.libretexts.org/@api/deki/files/8133/Figure_6.12.1.png?revision=1&amp;size=bestfit&amp;width=305&amp;height=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.libretexts.org/@api/deki/files/8133/Figure_6.12.1.png?revision=1&amp;size=bestfit&amp;width=305&amp;height=7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412" cy="5277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DE5" w:rsidRDefault="00936DE5" w:rsidP="00612B8D">
      <w:pPr>
        <w:pStyle w:val="2"/>
        <w:shd w:val="clear" w:color="auto" w:fill="FFFFFF"/>
        <w:bidi w:val="0"/>
        <w:spacing w:before="0"/>
        <w:rPr>
          <w:rFonts w:ascii="Tahoma" w:hAnsi="Tahoma" w:cs="Tahoma"/>
          <w:b w:val="0"/>
          <w:bCs w:val="0"/>
          <w:color w:val="137AC3"/>
        </w:rPr>
      </w:pPr>
      <w:r>
        <w:rPr>
          <w:rFonts w:ascii="Tahoma" w:hAnsi="Tahoma" w:cs="Tahoma"/>
          <w:b w:val="0"/>
          <w:bCs w:val="0"/>
          <w:color w:val="137AC3"/>
        </w:rPr>
        <w:t>Enzymes of Fatty Acid Synthesis</w:t>
      </w:r>
    </w:p>
    <w:p w:rsidR="00936DE5" w:rsidRDefault="003269F0" w:rsidP="00936DE5">
      <w:pPr>
        <w:pStyle w:val="a4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Style w:val="a5"/>
          <w:rFonts w:ascii="Tahoma" w:hAnsi="Tahoma" w:cs="Tahoma"/>
          <w:color w:val="000000"/>
        </w:rPr>
        <w:t xml:space="preserve">   </w:t>
      </w:r>
      <w:r w:rsidR="00936DE5" w:rsidRPr="003269F0">
        <w:rPr>
          <w:rStyle w:val="a5"/>
          <w:rFonts w:ascii="Tahoma" w:hAnsi="Tahoma" w:cs="Tahoma"/>
          <w:b/>
          <w:bCs/>
          <w:color w:val="1F497D" w:themeColor="text2"/>
        </w:rPr>
        <w:t>Acetyl-</w:t>
      </w:r>
      <w:proofErr w:type="spellStart"/>
      <w:r w:rsidR="00936DE5" w:rsidRPr="003269F0">
        <w:rPr>
          <w:rStyle w:val="a5"/>
          <w:rFonts w:ascii="Tahoma" w:hAnsi="Tahoma" w:cs="Tahoma"/>
          <w:b/>
          <w:bCs/>
          <w:color w:val="1F497D" w:themeColor="text2"/>
        </w:rPr>
        <w:t>CoA</w:t>
      </w:r>
      <w:proofErr w:type="spellEnd"/>
      <w:r w:rsidR="00936DE5" w:rsidRPr="003269F0">
        <w:rPr>
          <w:rStyle w:val="a5"/>
          <w:rFonts w:ascii="Tahoma" w:hAnsi="Tahoma" w:cs="Tahoma"/>
          <w:b/>
          <w:bCs/>
          <w:color w:val="1F497D" w:themeColor="text2"/>
        </w:rPr>
        <w:t xml:space="preserve"> </w:t>
      </w:r>
      <w:proofErr w:type="spellStart"/>
      <w:r w:rsidR="00936DE5" w:rsidRPr="003269F0">
        <w:rPr>
          <w:rStyle w:val="a5"/>
          <w:rFonts w:ascii="Tahoma" w:hAnsi="Tahoma" w:cs="Tahoma"/>
          <w:b/>
          <w:bCs/>
          <w:color w:val="1F497D" w:themeColor="text2"/>
        </w:rPr>
        <w:t>carboxylase</w:t>
      </w:r>
      <w:proofErr w:type="spellEnd"/>
      <w:r w:rsidR="00936DE5">
        <w:rPr>
          <w:rFonts w:ascii="Tahoma" w:hAnsi="Tahoma" w:cs="Tahoma"/>
          <w:color w:val="000000"/>
        </w:rPr>
        <w:t xml:space="preserve">, which catalyzes synthesis of </w:t>
      </w:r>
      <w:proofErr w:type="spellStart"/>
      <w:r w:rsidR="00936DE5">
        <w:rPr>
          <w:rFonts w:ascii="Tahoma" w:hAnsi="Tahoma" w:cs="Tahoma"/>
          <w:color w:val="000000"/>
        </w:rPr>
        <w:t>malonyl-CoA</w:t>
      </w:r>
      <w:proofErr w:type="spellEnd"/>
      <w:r w:rsidR="00936DE5">
        <w:rPr>
          <w:rFonts w:ascii="Tahoma" w:hAnsi="Tahoma" w:cs="Tahoma"/>
          <w:color w:val="000000"/>
        </w:rPr>
        <w:t xml:space="preserve">, is the only regulated enzyme in fatty acid synthesis. Its regulation involves both </w:t>
      </w:r>
      <w:proofErr w:type="spellStart"/>
      <w:r w:rsidR="00936DE5">
        <w:rPr>
          <w:rFonts w:ascii="Tahoma" w:hAnsi="Tahoma" w:cs="Tahoma"/>
          <w:color w:val="000000"/>
        </w:rPr>
        <w:lastRenderedPageBreak/>
        <w:t>allosteric</w:t>
      </w:r>
      <w:proofErr w:type="spellEnd"/>
      <w:r w:rsidR="00936DE5">
        <w:rPr>
          <w:rFonts w:ascii="Tahoma" w:hAnsi="Tahoma" w:cs="Tahoma"/>
          <w:color w:val="000000"/>
        </w:rPr>
        <w:t xml:space="preserve"> control and covalent modification. The enzyme is known to be </w:t>
      </w:r>
      <w:proofErr w:type="spellStart"/>
      <w:r w:rsidR="00936DE5">
        <w:rPr>
          <w:rFonts w:ascii="Tahoma" w:hAnsi="Tahoma" w:cs="Tahoma"/>
          <w:color w:val="000000"/>
        </w:rPr>
        <w:t>phosphorylated</w:t>
      </w:r>
      <w:proofErr w:type="spellEnd"/>
      <w:r w:rsidR="00936DE5">
        <w:rPr>
          <w:rFonts w:ascii="Tahoma" w:hAnsi="Tahoma" w:cs="Tahoma"/>
          <w:color w:val="000000"/>
        </w:rPr>
        <w:t xml:space="preserve"> by both AMP </w:t>
      </w:r>
      <w:proofErr w:type="spellStart"/>
      <w:r w:rsidR="00936DE5">
        <w:rPr>
          <w:rFonts w:ascii="Tahoma" w:hAnsi="Tahoma" w:cs="Tahoma"/>
          <w:color w:val="000000"/>
        </w:rPr>
        <w:t>Kinase</w:t>
      </w:r>
      <w:proofErr w:type="spellEnd"/>
      <w:r w:rsidR="00936DE5">
        <w:rPr>
          <w:rFonts w:ascii="Tahoma" w:hAnsi="Tahoma" w:cs="Tahoma"/>
          <w:color w:val="000000"/>
        </w:rPr>
        <w:t xml:space="preserve"> and Protein </w:t>
      </w:r>
      <w:proofErr w:type="spellStart"/>
      <w:r w:rsidR="00936DE5">
        <w:rPr>
          <w:rFonts w:ascii="Tahoma" w:hAnsi="Tahoma" w:cs="Tahoma"/>
          <w:color w:val="000000"/>
        </w:rPr>
        <w:t>Kinase</w:t>
      </w:r>
      <w:proofErr w:type="spellEnd"/>
      <w:r w:rsidR="00936DE5">
        <w:rPr>
          <w:rFonts w:ascii="Tahoma" w:hAnsi="Tahoma" w:cs="Tahoma"/>
          <w:color w:val="000000"/>
        </w:rPr>
        <w:t xml:space="preserve"> A. </w:t>
      </w:r>
      <w:proofErr w:type="spellStart"/>
      <w:r w:rsidR="00936DE5">
        <w:rPr>
          <w:rFonts w:ascii="Tahoma" w:hAnsi="Tahoma" w:cs="Tahoma"/>
          <w:color w:val="000000"/>
        </w:rPr>
        <w:t>Dephosphorylation</w:t>
      </w:r>
      <w:proofErr w:type="spellEnd"/>
      <w:r w:rsidR="00936DE5">
        <w:rPr>
          <w:rFonts w:ascii="Tahoma" w:hAnsi="Tahoma" w:cs="Tahoma"/>
          <w:color w:val="000000"/>
        </w:rPr>
        <w:t xml:space="preserve"> is stimulated by </w:t>
      </w:r>
      <w:proofErr w:type="spellStart"/>
      <w:r w:rsidR="00936DE5">
        <w:rPr>
          <w:rFonts w:ascii="Tahoma" w:hAnsi="Tahoma" w:cs="Tahoma"/>
          <w:color w:val="000000"/>
        </w:rPr>
        <w:t>phosphatases</w:t>
      </w:r>
      <w:proofErr w:type="spellEnd"/>
      <w:r w:rsidR="00936DE5">
        <w:rPr>
          <w:rFonts w:ascii="Tahoma" w:hAnsi="Tahoma" w:cs="Tahoma"/>
          <w:color w:val="000000"/>
        </w:rPr>
        <w:t xml:space="preserve"> activated by insulin binding. </w:t>
      </w:r>
      <w:proofErr w:type="spellStart"/>
      <w:r w:rsidR="00936DE5">
        <w:rPr>
          <w:rFonts w:ascii="Tahoma" w:hAnsi="Tahoma" w:cs="Tahoma"/>
          <w:color w:val="000000"/>
        </w:rPr>
        <w:t>Dephosphorylation</w:t>
      </w:r>
      <w:proofErr w:type="spellEnd"/>
      <w:r w:rsidR="00936DE5">
        <w:rPr>
          <w:rFonts w:ascii="Tahoma" w:hAnsi="Tahoma" w:cs="Tahoma"/>
          <w:color w:val="000000"/>
        </w:rPr>
        <w:t xml:space="preserve"> activates the enzyme and favors its assembly into a long polymer, while </w:t>
      </w:r>
      <w:proofErr w:type="spellStart"/>
      <w:r w:rsidR="00936DE5">
        <w:rPr>
          <w:rFonts w:ascii="Tahoma" w:hAnsi="Tahoma" w:cs="Tahoma"/>
          <w:color w:val="000000"/>
        </w:rPr>
        <w:t>phosphorylation</w:t>
      </w:r>
      <w:proofErr w:type="spellEnd"/>
      <w:r w:rsidR="00936DE5">
        <w:rPr>
          <w:rFonts w:ascii="Tahoma" w:hAnsi="Tahoma" w:cs="Tahoma"/>
          <w:color w:val="000000"/>
        </w:rPr>
        <w:t xml:space="preserve"> reverses the </w:t>
      </w:r>
      <w:proofErr w:type="spellStart"/>
      <w:r w:rsidR="00936DE5">
        <w:rPr>
          <w:rFonts w:ascii="Tahoma" w:hAnsi="Tahoma" w:cs="Tahoma"/>
          <w:color w:val="000000"/>
        </w:rPr>
        <w:t>process.Citrate</w:t>
      </w:r>
      <w:proofErr w:type="spellEnd"/>
      <w:r w:rsidR="00936DE5">
        <w:rPr>
          <w:rFonts w:ascii="Tahoma" w:hAnsi="Tahoma" w:cs="Tahoma"/>
          <w:color w:val="000000"/>
        </w:rPr>
        <w:t xml:space="preserve"> acts as an </w:t>
      </w:r>
      <w:proofErr w:type="spellStart"/>
      <w:r w:rsidR="00936DE5">
        <w:rPr>
          <w:rFonts w:ascii="Tahoma" w:hAnsi="Tahoma" w:cs="Tahoma"/>
          <w:color w:val="000000"/>
        </w:rPr>
        <w:t>allosteric</w:t>
      </w:r>
      <w:proofErr w:type="spellEnd"/>
      <w:r w:rsidR="00936DE5">
        <w:rPr>
          <w:rFonts w:ascii="Tahoma" w:hAnsi="Tahoma" w:cs="Tahoma"/>
          <w:color w:val="000000"/>
        </w:rPr>
        <w:t xml:space="preserve"> activator and may also favor polymerization. </w:t>
      </w:r>
      <w:proofErr w:type="spellStart"/>
      <w:r w:rsidR="00936DE5">
        <w:rPr>
          <w:rFonts w:ascii="Tahoma" w:hAnsi="Tahoma" w:cs="Tahoma"/>
          <w:color w:val="000000"/>
        </w:rPr>
        <w:t>Palmitoyl-CoA</w:t>
      </w:r>
      <w:proofErr w:type="spellEnd"/>
      <w:r w:rsidR="00936DE5">
        <w:rPr>
          <w:rFonts w:ascii="Tahoma" w:hAnsi="Tahoma" w:cs="Tahoma"/>
          <w:color w:val="000000"/>
        </w:rPr>
        <w:t xml:space="preserve"> </w:t>
      </w:r>
      <w:proofErr w:type="spellStart"/>
      <w:r w:rsidR="00936DE5">
        <w:rPr>
          <w:rFonts w:ascii="Tahoma" w:hAnsi="Tahoma" w:cs="Tahoma"/>
          <w:color w:val="000000"/>
        </w:rPr>
        <w:t>allosterically</w:t>
      </w:r>
      <w:proofErr w:type="spellEnd"/>
      <w:r w:rsidR="00936DE5">
        <w:rPr>
          <w:rFonts w:ascii="Tahoma" w:hAnsi="Tahoma" w:cs="Tahoma"/>
          <w:color w:val="000000"/>
        </w:rPr>
        <w:t xml:space="preserve"> inactivates it</w:t>
      </w:r>
    </w:p>
    <w:p w:rsidR="00936DE5" w:rsidRDefault="00DC3A37" w:rsidP="00F52D28">
      <w:pPr>
        <w:jc w:val="right"/>
        <w:rPr>
          <w:rtl/>
          <w:lang w:bidi="ar-EG"/>
        </w:rPr>
      </w:pPr>
      <w:r>
        <w:rPr>
          <w:noProof/>
        </w:rPr>
        <w:drawing>
          <wp:inline distT="0" distB="0" distL="0" distR="0">
            <wp:extent cx="5899350" cy="5364000"/>
            <wp:effectExtent l="19050" t="0" r="6150" b="0"/>
            <wp:docPr id="4" name="صورة 4" descr="FASmode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Smodel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662" cy="5360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FA2" w:rsidRDefault="00E57FF2" w:rsidP="00E57FF2">
      <w:pPr>
        <w:jc w:val="right"/>
        <w:rPr>
          <w:lang w:bidi="ar-EG"/>
        </w:rPr>
      </w:pPr>
      <w:r>
        <w:rPr>
          <w:rStyle w:val="a6"/>
          <w:i/>
          <w:iCs/>
          <w:color w:val="000000"/>
          <w:sz w:val="20"/>
          <w:szCs w:val="20"/>
          <w:shd w:val="clear" w:color="auto" w:fill="FFFFFF"/>
        </w:rPr>
        <w:t>Figure </w:t>
      </w:r>
      <w:r>
        <w:rPr>
          <w:rStyle w:val="mn"/>
          <w:rFonts w:ascii="MathJax_Main-bold" w:hAnsi="MathJax_Main-bold" w:cs="Tahoma"/>
          <w:color w:val="000000"/>
          <w:sz w:val="21"/>
          <w:szCs w:val="21"/>
          <w:bdr w:val="none" w:sz="0" w:space="0" w:color="auto" w:frame="1"/>
          <w:shd w:val="clear" w:color="auto" w:fill="FFFFFF"/>
        </w:rPr>
        <w:t>6.12.2</w:t>
      </w:r>
      <w:r>
        <w:rPr>
          <w:rStyle w:val="mjxassistivemathml"/>
          <w:rFonts w:ascii="Tahoma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</w:rPr>
        <w:t>6.12.2</w:t>
      </w:r>
      <w:r>
        <w:rPr>
          <w:rStyle w:val="a6"/>
          <w:i/>
          <w:iCs/>
          <w:color w:val="000000"/>
          <w:sz w:val="20"/>
          <w:szCs w:val="20"/>
          <w:shd w:val="clear" w:color="auto" w:fill="FFFFFF"/>
        </w:rPr>
        <w:t>: </w:t>
      </w:r>
      <w:r>
        <w:rPr>
          <w:rStyle w:val="a5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Fatty Acid </w:t>
      </w:r>
      <w:proofErr w:type="spellStart"/>
      <w:r>
        <w:rPr>
          <w:rStyle w:val="a5"/>
          <w:rFonts w:ascii="Tahoma" w:hAnsi="Tahoma" w:cs="Tahoma"/>
          <w:color w:val="000000"/>
          <w:sz w:val="20"/>
          <w:szCs w:val="20"/>
          <w:shd w:val="clear" w:color="auto" w:fill="FFFFFF"/>
        </w:rPr>
        <w:t>Synthase</w:t>
      </w:r>
      <w:proofErr w:type="spellEnd"/>
      <w:r>
        <w:rPr>
          <w:rStyle w:val="a5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(FAS) revised model with positions of polypeptides, three catalytic domains and their corresponding reactions, visualization by </w:t>
      </w:r>
      <w:proofErr w:type="spellStart"/>
      <w:r>
        <w:rPr>
          <w:rStyle w:val="a5"/>
          <w:rFonts w:ascii="Tahoma" w:hAnsi="Tahoma" w:cs="Tahoma"/>
          <w:color w:val="000000"/>
          <w:sz w:val="20"/>
          <w:szCs w:val="20"/>
          <w:shd w:val="clear" w:color="auto" w:fill="FFFFFF"/>
        </w:rPr>
        <w:t>Kosi</w:t>
      </w:r>
      <w:proofErr w:type="spellEnd"/>
      <w:r>
        <w:rPr>
          <w:rStyle w:val="a5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5"/>
          <w:rFonts w:ascii="Tahoma" w:hAnsi="Tahoma" w:cs="Tahoma"/>
          <w:color w:val="000000"/>
          <w:sz w:val="20"/>
          <w:szCs w:val="20"/>
          <w:shd w:val="clear" w:color="auto" w:fill="FFFFFF"/>
        </w:rPr>
        <w:t>Gramatikoff</w:t>
      </w:r>
      <w:proofErr w:type="spellEnd"/>
      <w:r>
        <w:rPr>
          <w:rStyle w:val="a5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Note that FAS is only active as a </w:t>
      </w:r>
      <w:proofErr w:type="spellStart"/>
      <w:r>
        <w:rPr>
          <w:rStyle w:val="a5"/>
          <w:rFonts w:ascii="Tahoma" w:hAnsi="Tahoma" w:cs="Tahoma"/>
          <w:color w:val="000000"/>
          <w:sz w:val="20"/>
          <w:szCs w:val="20"/>
          <w:shd w:val="clear" w:color="auto" w:fill="FFFFFF"/>
        </w:rPr>
        <w:t>homodimer</w:t>
      </w:r>
      <w:proofErr w:type="spellEnd"/>
      <w:r>
        <w:rPr>
          <w:rStyle w:val="a5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rather than the monomer pictured. Image used with permission (Public Domain; </w:t>
      </w:r>
      <w:proofErr w:type="spellStart"/>
      <w:r w:rsidR="00E75B05">
        <w:rPr>
          <w:rStyle w:val="a5"/>
          <w:rFonts w:ascii="Tahoma" w:hAnsi="Tahoma" w:cs="Tahoma"/>
          <w:color w:val="000000"/>
          <w:sz w:val="20"/>
          <w:szCs w:val="20"/>
          <w:shd w:val="clear" w:color="auto" w:fill="FFFFFF"/>
        </w:rPr>
        <w:fldChar w:fldCharType="begin"/>
      </w:r>
      <w:r>
        <w:rPr>
          <w:rStyle w:val="a5"/>
          <w:rFonts w:ascii="Tahoma" w:hAnsi="Tahoma" w:cs="Tahoma"/>
          <w:color w:val="000000"/>
          <w:sz w:val="20"/>
          <w:szCs w:val="20"/>
          <w:shd w:val="clear" w:color="auto" w:fill="FFFFFF"/>
        </w:rPr>
        <w:instrText xml:space="preserve"> HYPERLINK "https://en.wikipedia.org/wiki/User:Kosigrim" \o "wikipedia:User:Kosigrim" \t "_blank" </w:instrText>
      </w:r>
      <w:r w:rsidR="00E75B05">
        <w:rPr>
          <w:rStyle w:val="a5"/>
          <w:rFonts w:ascii="Tahoma" w:hAnsi="Tahoma" w:cs="Tahoma"/>
          <w:color w:val="000000"/>
          <w:sz w:val="20"/>
          <w:szCs w:val="20"/>
          <w:shd w:val="clear" w:color="auto" w:fill="FFFFFF"/>
        </w:rPr>
        <w:fldChar w:fldCharType="separate"/>
      </w:r>
      <w:r>
        <w:rPr>
          <w:rStyle w:val="Hyperlink"/>
          <w:rFonts w:ascii="Tahoma" w:hAnsi="Tahoma" w:cs="Tahoma"/>
          <w:i/>
          <w:iCs/>
          <w:color w:val="30B3F6"/>
          <w:sz w:val="20"/>
          <w:szCs w:val="20"/>
        </w:rPr>
        <w:t>Kosigrim</w:t>
      </w:r>
      <w:proofErr w:type="spellEnd"/>
      <w:r w:rsidR="00E75B05">
        <w:rPr>
          <w:rStyle w:val="a5"/>
          <w:rFonts w:ascii="Tahoma" w:hAnsi="Tahoma" w:cs="Tahoma"/>
          <w:color w:val="000000"/>
          <w:sz w:val="20"/>
          <w:szCs w:val="20"/>
          <w:shd w:val="clear" w:color="auto" w:fill="FFFFFF"/>
        </w:rPr>
        <w:fldChar w:fldCharType="end"/>
      </w:r>
      <w:r>
        <w:rPr>
          <w:rStyle w:val="a5"/>
          <w:rFonts w:ascii="Tahoma" w:hAnsi="Tahoma" w:cs="Tahoma"/>
          <w:color w:val="000000"/>
          <w:sz w:val="20"/>
          <w:szCs w:val="20"/>
          <w:shd w:val="clear" w:color="auto" w:fill="FFFFFF"/>
        </w:rPr>
        <w:t>)</w:t>
      </w:r>
    </w:p>
    <w:p w:rsidR="00141FA2" w:rsidRPr="00E57FF2" w:rsidRDefault="00141FA2" w:rsidP="00E57FF2">
      <w:pPr>
        <w:jc w:val="right"/>
        <w:rPr>
          <w:lang w:bidi="ar-EG"/>
        </w:rPr>
      </w:pPr>
    </w:p>
    <w:p w:rsidR="00141FA2" w:rsidRPr="00E57FF2" w:rsidRDefault="00E57FF2" w:rsidP="00E57FF2">
      <w:pPr>
        <w:jc w:val="right"/>
        <w:rPr>
          <w:lang w:bidi="ar-EG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       In animals, six different catalytic activities necessary for the remaining catalytic actions to fully make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palmitoyl-CoA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are contained in a single complex called Fatty Acid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Synthase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(Figure </w:t>
      </w:r>
      <w:r>
        <w:rPr>
          <w:rStyle w:val="mn"/>
          <w:rFonts w:ascii="MathJax_Main" w:hAnsi="MathJax_Main" w:cs="Tahoma"/>
          <w:color w:val="000000"/>
          <w:sz w:val="21"/>
          <w:szCs w:val="21"/>
          <w:bdr w:val="none" w:sz="0" w:space="0" w:color="auto" w:frame="1"/>
          <w:shd w:val="clear" w:color="auto" w:fill="FFFFFF"/>
        </w:rPr>
        <w:t>6.12.2</w:t>
      </w:r>
      <w:r>
        <w:rPr>
          <w:rStyle w:val="mjxassistivemathml"/>
          <w:rFonts w:ascii="Tahoma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</w:rPr>
        <w:t>6.12.2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). These include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transacylases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for swapping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CoA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with ACP on acetyl-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CoA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malonyl-CoA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; a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synthase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to catalyze addition of the two carbon unit from the three carbon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malonyl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-ACP in the first step of the elongation process; a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reductase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to reduce the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ketone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; a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dehydrase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to catalyze removal of water, and a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reductase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to reduce the trans double bond. In bacteria, these activities are found on separate enzymes and are not part of a complex.</w:t>
      </w:r>
    </w:p>
    <w:p w:rsidR="00E67975" w:rsidRDefault="00E67975" w:rsidP="00E67975">
      <w:pPr>
        <w:pStyle w:val="2"/>
        <w:shd w:val="clear" w:color="auto" w:fill="FFFFFF"/>
        <w:bidi w:val="0"/>
        <w:rPr>
          <w:rFonts w:ascii="Tahoma" w:hAnsi="Tahoma" w:cs="Tahoma"/>
          <w:b w:val="0"/>
          <w:bCs w:val="0"/>
          <w:color w:val="137AC3"/>
        </w:rPr>
      </w:pPr>
      <w:r>
        <w:rPr>
          <w:rFonts w:ascii="Tahoma" w:hAnsi="Tahoma" w:cs="Tahoma"/>
          <w:b w:val="0"/>
          <w:bCs w:val="0"/>
          <w:color w:val="137AC3"/>
        </w:rPr>
        <w:t>Elongation of Fatty Acids</w:t>
      </w:r>
    </w:p>
    <w:p w:rsidR="00E67975" w:rsidRDefault="00E67975" w:rsidP="00E67975">
      <w:pPr>
        <w:pStyle w:val="a4"/>
        <w:shd w:val="clear" w:color="auto" w:fill="FFFFFF"/>
        <w:spacing w:before="0" w:after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Elongation to make fatty acids longer than 16 carbons occurs in the </w:t>
      </w:r>
      <w:hyperlink r:id="rId8" w:tooltip="6.12: Fatty Acid Synthesis" w:history="1">
        <w:r>
          <w:rPr>
            <w:rStyle w:val="Hyperlink"/>
            <w:rFonts w:ascii="Tahoma" w:hAnsi="Tahoma" w:cs="Tahoma"/>
            <w:color w:val="30B3F6"/>
          </w:rPr>
          <w:t>endoplasmic reticulum</w:t>
        </w:r>
      </w:hyperlink>
      <w:r>
        <w:rPr>
          <w:rFonts w:ascii="Tahoma" w:hAnsi="Tahoma" w:cs="Tahoma"/>
          <w:color w:val="000000"/>
        </w:rPr>
        <w:t xml:space="preserve"> and is catalyzed by enzymes described as </w:t>
      </w:r>
      <w:proofErr w:type="spellStart"/>
      <w:r>
        <w:rPr>
          <w:rFonts w:ascii="Tahoma" w:hAnsi="Tahoma" w:cs="Tahoma"/>
          <w:color w:val="000000"/>
        </w:rPr>
        <w:t>elongases</w:t>
      </w:r>
      <w:proofErr w:type="spellEnd"/>
      <w:r>
        <w:rPr>
          <w:rFonts w:ascii="Tahoma" w:hAnsi="Tahoma" w:cs="Tahoma"/>
          <w:color w:val="000000"/>
        </w:rPr>
        <w:t xml:space="preserve">. Mitochondria also can elongate fatty acids, but their starting materials are generally shorter than 16 carbons long. The mechanisms in both environments are similar to those in the cytoplasm (a </w:t>
      </w:r>
      <w:proofErr w:type="spellStart"/>
      <w:r>
        <w:rPr>
          <w:rFonts w:ascii="Tahoma" w:hAnsi="Tahoma" w:cs="Tahoma"/>
          <w:color w:val="000000"/>
        </w:rPr>
        <w:t>malonyl</w:t>
      </w:r>
      <w:proofErr w:type="spellEnd"/>
      <w:r>
        <w:rPr>
          <w:rFonts w:ascii="Tahoma" w:hAnsi="Tahoma" w:cs="Tahoma"/>
          <w:color w:val="000000"/>
        </w:rPr>
        <w:t xml:space="preserve"> group is used to add two carbons, for example), but </w:t>
      </w:r>
      <w:proofErr w:type="spellStart"/>
      <w:r>
        <w:rPr>
          <w:rFonts w:ascii="Tahoma" w:hAnsi="Tahoma" w:cs="Tahoma"/>
          <w:color w:val="000000"/>
        </w:rPr>
        <w:t>CoA</w:t>
      </w:r>
      <w:proofErr w:type="spellEnd"/>
      <w:r>
        <w:rPr>
          <w:rFonts w:ascii="Tahoma" w:hAnsi="Tahoma" w:cs="Tahoma"/>
          <w:color w:val="000000"/>
        </w:rPr>
        <w:t xml:space="preserve"> is attached to the intermediates, not ACP. Further, whereas </w:t>
      </w:r>
      <w:proofErr w:type="spellStart"/>
      <w:r>
        <w:rPr>
          <w:rFonts w:ascii="Tahoma" w:hAnsi="Tahoma" w:cs="Tahoma"/>
          <w:color w:val="000000"/>
        </w:rPr>
        <w:t>cytoplasmic</w:t>
      </w:r>
      <w:proofErr w:type="spellEnd"/>
      <w:r>
        <w:rPr>
          <w:rFonts w:ascii="Tahoma" w:hAnsi="Tahoma" w:cs="Tahoma"/>
          <w:color w:val="000000"/>
        </w:rPr>
        <w:t xml:space="preserve"> synthesis employs the fatty acid </w:t>
      </w:r>
      <w:proofErr w:type="spellStart"/>
      <w:r>
        <w:rPr>
          <w:rFonts w:ascii="Tahoma" w:hAnsi="Tahoma" w:cs="Tahoma"/>
          <w:color w:val="000000"/>
        </w:rPr>
        <w:t>synthase</w:t>
      </w:r>
      <w:proofErr w:type="spellEnd"/>
      <w:r>
        <w:rPr>
          <w:rFonts w:ascii="Tahoma" w:hAnsi="Tahoma" w:cs="Tahoma"/>
          <w:color w:val="000000"/>
        </w:rPr>
        <w:t xml:space="preserve"> complex (Figure </w:t>
      </w:r>
      <w:r>
        <w:rPr>
          <w:rStyle w:val="mn"/>
          <w:rFonts w:ascii="MathJax_Main" w:hAnsi="MathJax_Main" w:cs="Tahoma"/>
          <w:color w:val="000000"/>
          <w:sz w:val="21"/>
          <w:szCs w:val="21"/>
          <w:bdr w:val="none" w:sz="0" w:space="0" w:color="auto" w:frame="1"/>
        </w:rPr>
        <w:t>6.12.2</w:t>
      </w:r>
      <w:r>
        <w:rPr>
          <w:rStyle w:val="mjxassistivemathml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6.12.2</w:t>
      </w:r>
      <w:r>
        <w:rPr>
          <w:rFonts w:ascii="Tahoma" w:hAnsi="Tahoma" w:cs="Tahoma"/>
          <w:color w:val="000000"/>
        </w:rPr>
        <w:t>), the enzymes in these organelles are separable and not part of a complex.</w:t>
      </w:r>
    </w:p>
    <w:p w:rsidR="00D00744" w:rsidRDefault="00D00744" w:rsidP="00D00744">
      <w:pPr>
        <w:pStyle w:val="a4"/>
        <w:shd w:val="clear" w:color="auto" w:fill="FFFFFF"/>
        <w:spacing w:before="0" w:after="0"/>
        <w:jc w:val="both"/>
        <w:rPr>
          <w:rFonts w:ascii="Tahoma" w:hAnsi="Tahoma" w:cs="Tahoma"/>
          <w:color w:val="000000"/>
        </w:rPr>
      </w:pPr>
      <w:r w:rsidRPr="00D00744">
        <w:rPr>
          <w:rFonts w:ascii="Tahoma" w:hAnsi="Tahoma" w:cs="Tahoma"/>
          <w:color w:val="000000"/>
        </w:rPr>
        <w:drawing>
          <wp:inline distT="0" distB="0" distL="0" distR="0">
            <wp:extent cx="5275199" cy="3888000"/>
            <wp:effectExtent l="19050" t="0" r="1651" b="0"/>
            <wp:docPr id="1" name="صورة 1" descr="F:\21-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1" name="Picture 3" descr="F:\21-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8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206" w:rsidRDefault="00D61206" w:rsidP="00D61206">
      <w:pPr>
        <w:pStyle w:val="2"/>
        <w:shd w:val="clear" w:color="auto" w:fill="FFFFFF"/>
        <w:bidi w:val="0"/>
        <w:rPr>
          <w:rFonts w:ascii="Tahoma" w:hAnsi="Tahoma" w:cs="Tahoma"/>
          <w:b w:val="0"/>
          <w:bCs w:val="0"/>
          <w:color w:val="137AC3"/>
        </w:rPr>
      </w:pPr>
      <w:proofErr w:type="spellStart"/>
      <w:r>
        <w:rPr>
          <w:rFonts w:ascii="Tahoma" w:hAnsi="Tahoma" w:cs="Tahoma"/>
          <w:b w:val="0"/>
          <w:bCs w:val="0"/>
          <w:color w:val="137AC3"/>
        </w:rPr>
        <w:t>Desaturation</w:t>
      </w:r>
      <w:proofErr w:type="spellEnd"/>
      <w:r>
        <w:rPr>
          <w:rFonts w:ascii="Tahoma" w:hAnsi="Tahoma" w:cs="Tahoma"/>
          <w:b w:val="0"/>
          <w:bCs w:val="0"/>
          <w:color w:val="137AC3"/>
        </w:rPr>
        <w:t xml:space="preserve"> of Fatty Acids</w:t>
      </w:r>
    </w:p>
    <w:p w:rsidR="00D61206" w:rsidRDefault="00D61206" w:rsidP="00D61206">
      <w:pPr>
        <w:pStyle w:val="a4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Fatty acids are synthesized in the saturated form and </w:t>
      </w:r>
      <w:proofErr w:type="spellStart"/>
      <w:r>
        <w:rPr>
          <w:rFonts w:ascii="Tahoma" w:hAnsi="Tahoma" w:cs="Tahoma"/>
          <w:color w:val="000000"/>
        </w:rPr>
        <w:t>desaturation</w:t>
      </w:r>
      <w:proofErr w:type="spellEnd"/>
      <w:r>
        <w:rPr>
          <w:rFonts w:ascii="Tahoma" w:hAnsi="Tahoma" w:cs="Tahoma"/>
          <w:color w:val="000000"/>
        </w:rPr>
        <w:t xml:space="preserve"> occurs later. Enzymes called </w:t>
      </w:r>
      <w:proofErr w:type="spellStart"/>
      <w:r>
        <w:rPr>
          <w:rFonts w:ascii="Tahoma" w:hAnsi="Tahoma" w:cs="Tahoma"/>
          <w:color w:val="000000"/>
        </w:rPr>
        <w:t>desaturases</w:t>
      </w:r>
      <w:proofErr w:type="spellEnd"/>
      <w:r>
        <w:rPr>
          <w:rFonts w:ascii="Tahoma" w:hAnsi="Tahoma" w:cs="Tahoma"/>
          <w:color w:val="000000"/>
        </w:rPr>
        <w:t xml:space="preserve"> catalyze the formation of </w:t>
      </w:r>
      <w:proofErr w:type="spellStart"/>
      <w:r>
        <w:rPr>
          <w:rFonts w:ascii="Tahoma" w:hAnsi="Tahoma" w:cs="Tahoma"/>
          <w:color w:val="000000"/>
        </w:rPr>
        <w:t>cis</w:t>
      </w:r>
      <w:proofErr w:type="spellEnd"/>
      <w:r>
        <w:rPr>
          <w:rFonts w:ascii="Tahoma" w:hAnsi="Tahoma" w:cs="Tahoma"/>
          <w:color w:val="000000"/>
        </w:rPr>
        <w:t xml:space="preserve"> double bonds in mature fatty acids. These enzymes are found in the endoplasmic reticulum. Animals are limited in the </w:t>
      </w:r>
      <w:proofErr w:type="spellStart"/>
      <w:r>
        <w:rPr>
          <w:rFonts w:ascii="Tahoma" w:hAnsi="Tahoma" w:cs="Tahoma"/>
          <w:color w:val="000000"/>
        </w:rPr>
        <w:t>desaturated</w:t>
      </w:r>
      <w:proofErr w:type="spellEnd"/>
      <w:r>
        <w:rPr>
          <w:rFonts w:ascii="Tahoma" w:hAnsi="Tahoma" w:cs="Tahoma"/>
          <w:color w:val="000000"/>
        </w:rPr>
        <w:t xml:space="preserve"> fatty acids they can make, due to an inability to catalyze reactions beyond carbons 9 and 10. Thus, humans can make oleic acid, but cannot synthesis </w:t>
      </w:r>
      <w:proofErr w:type="spellStart"/>
      <w:r>
        <w:rPr>
          <w:rFonts w:ascii="Tahoma" w:hAnsi="Tahoma" w:cs="Tahoma"/>
          <w:color w:val="000000"/>
        </w:rPr>
        <w:t>linoleic</w:t>
      </w:r>
      <w:proofErr w:type="spellEnd"/>
      <w:r>
        <w:rPr>
          <w:rFonts w:ascii="Tahoma" w:hAnsi="Tahoma" w:cs="Tahoma"/>
          <w:color w:val="000000"/>
        </w:rPr>
        <w:t xml:space="preserve"> acid or </w:t>
      </w:r>
      <w:proofErr w:type="spellStart"/>
      <w:r>
        <w:rPr>
          <w:rFonts w:ascii="Tahoma" w:hAnsi="Tahoma" w:cs="Tahoma"/>
          <w:color w:val="000000"/>
        </w:rPr>
        <w:t>linolenic</w:t>
      </w:r>
      <w:proofErr w:type="spellEnd"/>
      <w:r>
        <w:rPr>
          <w:rFonts w:ascii="Tahoma" w:hAnsi="Tahoma" w:cs="Tahoma"/>
          <w:color w:val="000000"/>
        </w:rPr>
        <w:t xml:space="preserve"> acid. Consequently, these two must be provided in the diet and are referred to as essential fatty acids.</w:t>
      </w:r>
    </w:p>
    <w:sectPr w:rsidR="00D61206" w:rsidSect="005B79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Jax_Ma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7218"/>
    <w:multiLevelType w:val="hybridMultilevel"/>
    <w:tmpl w:val="9BB26892"/>
    <w:lvl w:ilvl="0" w:tplc="021079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BA5712">
      <w:start w:val="155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1AB3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0AD6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9A70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6E4E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E47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A4D1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3037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D5E0E"/>
    <w:multiLevelType w:val="hybridMultilevel"/>
    <w:tmpl w:val="71FEA5F2"/>
    <w:lvl w:ilvl="0" w:tplc="DB0878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C6076">
      <w:start w:val="158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9428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B0AC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580C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90DA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C18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6229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F28D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>
    <w:useFELayout/>
  </w:compat>
  <w:rsids>
    <w:rsidRoot w:val="00F4326D"/>
    <w:rsid w:val="00141FA2"/>
    <w:rsid w:val="00163B1E"/>
    <w:rsid w:val="00235455"/>
    <w:rsid w:val="0024770D"/>
    <w:rsid w:val="00257FAC"/>
    <w:rsid w:val="003269F0"/>
    <w:rsid w:val="003330B2"/>
    <w:rsid w:val="004029AD"/>
    <w:rsid w:val="0055367E"/>
    <w:rsid w:val="005B793B"/>
    <w:rsid w:val="00612B8D"/>
    <w:rsid w:val="006252F9"/>
    <w:rsid w:val="00792D11"/>
    <w:rsid w:val="008872D8"/>
    <w:rsid w:val="00917746"/>
    <w:rsid w:val="00936DE5"/>
    <w:rsid w:val="00A42A73"/>
    <w:rsid w:val="00B11CCF"/>
    <w:rsid w:val="00B403F9"/>
    <w:rsid w:val="00B54922"/>
    <w:rsid w:val="00B61786"/>
    <w:rsid w:val="00C23272"/>
    <w:rsid w:val="00D00744"/>
    <w:rsid w:val="00D61206"/>
    <w:rsid w:val="00DC3A37"/>
    <w:rsid w:val="00DD58CA"/>
    <w:rsid w:val="00DF7CCA"/>
    <w:rsid w:val="00E57FF2"/>
    <w:rsid w:val="00E67975"/>
    <w:rsid w:val="00E75B05"/>
    <w:rsid w:val="00F4326D"/>
    <w:rsid w:val="00F5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3B"/>
    <w:pPr>
      <w:bidi/>
    </w:pPr>
  </w:style>
  <w:style w:type="paragraph" w:styleId="1">
    <w:name w:val="heading 1"/>
    <w:basedOn w:val="a"/>
    <w:link w:val="1Char"/>
    <w:uiPriority w:val="9"/>
    <w:qFormat/>
    <w:rsid w:val="00141FA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36D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4326D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141F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0"/>
    <w:uiPriority w:val="99"/>
    <w:semiHidden/>
    <w:unhideWhenUsed/>
    <w:rsid w:val="0055367E"/>
    <w:rPr>
      <w:color w:val="0000FF"/>
      <w:u w:val="single"/>
    </w:rPr>
  </w:style>
  <w:style w:type="character" w:customStyle="1" w:styleId="mn">
    <w:name w:val="mn"/>
    <w:basedOn w:val="a0"/>
    <w:rsid w:val="003330B2"/>
  </w:style>
  <w:style w:type="character" w:customStyle="1" w:styleId="mjxassistivemathml">
    <w:name w:val="mjx_assistive_mathml"/>
    <w:basedOn w:val="a0"/>
    <w:rsid w:val="003330B2"/>
  </w:style>
  <w:style w:type="character" w:customStyle="1" w:styleId="2Char">
    <w:name w:val="عنوان 2 Char"/>
    <w:basedOn w:val="a0"/>
    <w:link w:val="2"/>
    <w:uiPriority w:val="9"/>
    <w:semiHidden/>
    <w:rsid w:val="00936D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936D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36DE5"/>
    <w:rPr>
      <w:i/>
      <w:iCs/>
    </w:rPr>
  </w:style>
  <w:style w:type="character" w:styleId="a6">
    <w:name w:val="Strong"/>
    <w:basedOn w:val="a0"/>
    <w:uiPriority w:val="22"/>
    <w:qFormat/>
    <w:rsid w:val="00E57FF2"/>
    <w:rPr>
      <w:b/>
      <w:bCs/>
    </w:rPr>
  </w:style>
  <w:style w:type="paragraph" w:styleId="a7">
    <w:name w:val="List Paragraph"/>
    <w:basedOn w:val="a"/>
    <w:uiPriority w:val="34"/>
    <w:qFormat/>
    <w:rsid w:val="00C23272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6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459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93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5702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86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13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19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30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2383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924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903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88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24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75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.libretexts.org/Bookshelves/Biochemistry/Book%3A_Biochemistry_Free_and_Easy_(Ahern_and_Rajagopal)/06%3A_Metabolism_I_-_Oxidative%2F%2FReductive_Processes/6.12%3A_Fatty_Acid_Synthes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bio.libretexts.org/Bookshelves/Biochemistry/Book%3A_Biochemistry_Free_and_Easy_(Ahern_and_Rajagopal)/06%3A_Metabolism_I_-_Oxidative%2F%2FReductive_Processes/6.11%3A_Fatty_Acid_Oxidati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861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32</cp:revision>
  <dcterms:created xsi:type="dcterms:W3CDTF">2020-03-30T09:02:00Z</dcterms:created>
  <dcterms:modified xsi:type="dcterms:W3CDTF">2020-03-30T10:38:00Z</dcterms:modified>
</cp:coreProperties>
</file>